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83385" w14:textId="77777777" w:rsidR="00AF4F7E" w:rsidRPr="00C27843" w:rsidRDefault="00AF4F7E" w:rsidP="00AF4F7E">
      <w:pPr>
        <w:spacing w:before="120"/>
        <w:rPr>
          <w:b/>
          <w:bCs/>
          <w:sz w:val="20"/>
          <w:szCs w:val="20"/>
        </w:rPr>
      </w:pPr>
      <w:r w:rsidRPr="00C27843">
        <w:rPr>
          <w:sz w:val="20"/>
          <w:szCs w:val="20"/>
        </w:rPr>
        <w:tab/>
      </w:r>
      <w:r w:rsidRPr="00C27843">
        <w:rPr>
          <w:sz w:val="20"/>
          <w:szCs w:val="20"/>
        </w:rPr>
        <w:tab/>
      </w:r>
      <w:r w:rsidRPr="00C27843">
        <w:rPr>
          <w:sz w:val="20"/>
          <w:szCs w:val="20"/>
        </w:rPr>
        <w:tab/>
      </w:r>
      <w:r w:rsidRPr="00C27843">
        <w:rPr>
          <w:sz w:val="20"/>
          <w:szCs w:val="20"/>
        </w:rPr>
        <w:tab/>
      </w:r>
      <w:r w:rsidRPr="00C27843">
        <w:rPr>
          <w:sz w:val="20"/>
          <w:szCs w:val="20"/>
        </w:rPr>
        <w:tab/>
      </w:r>
      <w:r w:rsidRPr="00C27843">
        <w:rPr>
          <w:sz w:val="20"/>
          <w:szCs w:val="20"/>
        </w:rPr>
        <w:tab/>
      </w:r>
      <w:r w:rsidRPr="00C27843">
        <w:rPr>
          <w:sz w:val="20"/>
          <w:szCs w:val="20"/>
        </w:rPr>
        <w:tab/>
      </w:r>
      <w:r w:rsidRPr="00C27843">
        <w:rPr>
          <w:sz w:val="20"/>
          <w:szCs w:val="20"/>
        </w:rPr>
        <w:tab/>
      </w:r>
      <w:r w:rsidRPr="00C27843">
        <w:rPr>
          <w:sz w:val="20"/>
          <w:szCs w:val="20"/>
        </w:rPr>
        <w:tab/>
        <w:t>M</w:t>
      </w:r>
      <w:r w:rsidRPr="00C27843">
        <w:rPr>
          <w:bCs/>
          <w:sz w:val="20"/>
          <w:szCs w:val="20"/>
        </w:rPr>
        <w:t>ẫu số 02/CKNS-BC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3258"/>
        <w:gridCol w:w="6120"/>
      </w:tblGrid>
      <w:tr w:rsidR="00C27843" w:rsidRPr="00C27843" w14:paraId="6BDB2C2E" w14:textId="77777777" w:rsidTr="00861A56">
        <w:tc>
          <w:tcPr>
            <w:tcW w:w="3258" w:type="dxa"/>
          </w:tcPr>
          <w:p w14:paraId="5D40511F" w14:textId="77777777" w:rsidR="00C27843" w:rsidRPr="00C27843" w:rsidRDefault="00C27843" w:rsidP="00861A56">
            <w:pPr>
              <w:jc w:val="center"/>
              <w:rPr>
                <w:b/>
                <w:szCs w:val="26"/>
              </w:rPr>
            </w:pPr>
            <w:r w:rsidRPr="00C27843">
              <w:br w:type="page"/>
            </w:r>
            <w:r w:rsidRPr="00C27843">
              <w:rPr>
                <w:lang w:val="nl-NL"/>
              </w:rPr>
              <w:br w:type="page"/>
            </w:r>
            <w:r w:rsidRPr="00C27843">
              <w:rPr>
                <w:b/>
                <w:szCs w:val="26"/>
              </w:rPr>
              <w:t>ỦY BAN NHÂN DÂN</w:t>
            </w:r>
          </w:p>
          <w:p w14:paraId="0774F386" w14:textId="77777777" w:rsidR="00C27843" w:rsidRPr="00C27843" w:rsidRDefault="00C27843" w:rsidP="00861A56">
            <w:pPr>
              <w:jc w:val="center"/>
              <w:rPr>
                <w:b/>
                <w:szCs w:val="26"/>
              </w:rPr>
            </w:pPr>
            <w:r w:rsidRPr="00C27843">
              <w:rPr>
                <w:b/>
                <w:szCs w:val="26"/>
              </w:rPr>
              <w:t>TỈNH QUẢNG NGÃI</w:t>
            </w:r>
          </w:p>
        </w:tc>
        <w:tc>
          <w:tcPr>
            <w:tcW w:w="6120" w:type="dxa"/>
          </w:tcPr>
          <w:p w14:paraId="2CAF0651" w14:textId="77777777" w:rsidR="00C27843" w:rsidRPr="00C27843" w:rsidRDefault="00C27843" w:rsidP="00861A56">
            <w:pPr>
              <w:jc w:val="center"/>
              <w:rPr>
                <w:b/>
                <w:szCs w:val="26"/>
              </w:rPr>
            </w:pPr>
            <w:r w:rsidRPr="00C27843">
              <w:rPr>
                <w:b/>
                <w:szCs w:val="26"/>
              </w:rPr>
              <w:t>CỘNG HÒA XÃ HỘI CHỦ NGHĨA VIỆT NAM</w:t>
            </w:r>
          </w:p>
          <w:p w14:paraId="51921276" w14:textId="565ADF4E" w:rsidR="00C27843" w:rsidRPr="00C27843" w:rsidRDefault="00C27843" w:rsidP="00861A56">
            <w:pPr>
              <w:jc w:val="center"/>
              <w:rPr>
                <w:b/>
                <w:szCs w:val="26"/>
              </w:rPr>
            </w:pPr>
            <w:r w:rsidRPr="00C27843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078E6A" wp14:editId="319904D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204470</wp:posOffset>
                      </wp:positionV>
                      <wp:extent cx="2143125" cy="0"/>
                      <wp:effectExtent l="9525" t="10795" r="9525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1.05pt;margin-top:16.1pt;width:16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"/>
                  </w:pict>
                </mc:Fallback>
              </mc:AlternateContent>
            </w:r>
            <w:r w:rsidRPr="00C27843">
              <w:rPr>
                <w:b/>
                <w:szCs w:val="26"/>
              </w:rPr>
              <w:t>Độc lập - Tự do - Hạnh phúc</w:t>
            </w:r>
          </w:p>
        </w:tc>
      </w:tr>
      <w:tr w:rsidR="00C27843" w:rsidRPr="00C27843" w14:paraId="60A145D1" w14:textId="77777777" w:rsidTr="00861A56">
        <w:trPr>
          <w:trHeight w:val="80"/>
        </w:trPr>
        <w:tc>
          <w:tcPr>
            <w:tcW w:w="3258" w:type="dxa"/>
          </w:tcPr>
          <w:p w14:paraId="523ACF74" w14:textId="1EAB8B0E" w:rsidR="00C27843" w:rsidRPr="00C27843" w:rsidRDefault="00C27843" w:rsidP="00861A56">
            <w:pPr>
              <w:spacing w:before="120" w:after="120"/>
            </w:pPr>
            <w:r w:rsidRPr="00C278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F3B58" wp14:editId="7E76627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19050</wp:posOffset>
                      </wp:positionV>
                      <wp:extent cx="942975" cy="0"/>
                      <wp:effectExtent l="9525" t="10795" r="952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40.2pt;margin-top:1.5pt;width:7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"/>
                  </w:pict>
                </mc:Fallback>
              </mc:AlternateContent>
            </w:r>
            <w:r w:rsidRPr="00C27843">
              <w:t xml:space="preserve">       Số:           /BC-UBND</w:t>
            </w:r>
          </w:p>
        </w:tc>
        <w:tc>
          <w:tcPr>
            <w:tcW w:w="6120" w:type="dxa"/>
          </w:tcPr>
          <w:p w14:paraId="353580F7" w14:textId="77777777" w:rsidR="00C27843" w:rsidRPr="00C27843" w:rsidRDefault="00C27843" w:rsidP="00861A56">
            <w:pPr>
              <w:spacing w:before="120" w:after="120"/>
              <w:jc w:val="center"/>
              <w:rPr>
                <w:i/>
              </w:rPr>
            </w:pPr>
            <w:r w:rsidRPr="00C27843">
              <w:rPr>
                <w:b/>
                <w:i/>
              </w:rPr>
              <w:t xml:space="preserve">       </w:t>
            </w:r>
            <w:r w:rsidRPr="00C27843">
              <w:rPr>
                <w:i/>
              </w:rPr>
              <w:t>Quảng Ngãi, ngày        tháng 5 năm 2025</w:t>
            </w:r>
          </w:p>
        </w:tc>
      </w:tr>
    </w:tbl>
    <w:p w14:paraId="260044B6" w14:textId="77358634" w:rsidR="00C27843" w:rsidRPr="00C27843" w:rsidRDefault="00C27843" w:rsidP="00C27843">
      <w:pPr>
        <w:jc w:val="center"/>
        <w:rPr>
          <w:b/>
        </w:rPr>
      </w:pPr>
      <w:bookmarkStart w:id="0" w:name="_GoBack"/>
      <w:bookmarkEnd w:id="0"/>
    </w:p>
    <w:p w14:paraId="7358AF2A" w14:textId="77777777" w:rsidR="00C27843" w:rsidRPr="00C27843" w:rsidRDefault="00C27843" w:rsidP="00C27843">
      <w:pPr>
        <w:tabs>
          <w:tab w:val="left" w:pos="1064"/>
          <w:tab w:val="center" w:pos="4537"/>
        </w:tabs>
        <w:rPr>
          <w:b/>
        </w:rPr>
      </w:pPr>
      <w:r w:rsidRPr="00C27843">
        <w:rPr>
          <w:b/>
        </w:rPr>
        <w:tab/>
      </w:r>
      <w:r w:rsidRPr="00C27843">
        <w:rPr>
          <w:b/>
        </w:rPr>
        <w:tab/>
        <w:t>BÁO CÁO</w:t>
      </w:r>
    </w:p>
    <w:p w14:paraId="2C44CF2D" w14:textId="77777777" w:rsidR="00C27843" w:rsidRPr="00C27843" w:rsidRDefault="00C27843" w:rsidP="00C27843">
      <w:pPr>
        <w:ind w:right="569" w:firstLine="567"/>
        <w:jc w:val="center"/>
        <w:rPr>
          <w:b/>
        </w:rPr>
      </w:pPr>
      <w:r w:rsidRPr="00C27843">
        <w:rPr>
          <w:b/>
        </w:rPr>
        <w:t>Về tình hình thực hiện công khai dự toán ngân sách nhà nước năm 2025 của tỉnh Quảng Ngãi</w:t>
      </w:r>
    </w:p>
    <w:p w14:paraId="66CCC0FF" w14:textId="303FC94D" w:rsidR="00C27843" w:rsidRPr="00C27843" w:rsidRDefault="00C27843" w:rsidP="00C27843">
      <w:pPr>
        <w:jc w:val="center"/>
        <w:rPr>
          <w:b/>
        </w:rPr>
      </w:pPr>
      <w:r w:rsidRPr="00C278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DED52" wp14:editId="76EE5500">
                <wp:simplePos x="0" y="0"/>
                <wp:positionH relativeFrom="column">
                  <wp:posOffset>2423160</wp:posOffset>
                </wp:positionH>
                <wp:positionV relativeFrom="paragraph">
                  <wp:posOffset>13335</wp:posOffset>
                </wp:positionV>
                <wp:extent cx="939165" cy="0"/>
                <wp:effectExtent l="7620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05pt" to="264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g0Gw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">
                <v:fill o:detectmouseclick="t"/>
              </v:line>
            </w:pict>
          </mc:Fallback>
        </mc:AlternateContent>
      </w:r>
    </w:p>
    <w:p w14:paraId="5814D3B2" w14:textId="77777777" w:rsidR="00C27843" w:rsidRPr="00C27843" w:rsidRDefault="00C27843" w:rsidP="00C27843">
      <w:pPr>
        <w:spacing w:before="60" w:after="60"/>
        <w:jc w:val="center"/>
      </w:pPr>
      <w:r w:rsidRPr="00C27843">
        <w:t>Kính gửi: Bộ Tài chính</w:t>
      </w:r>
    </w:p>
    <w:p w14:paraId="320A446F" w14:textId="77777777" w:rsidR="00C27843" w:rsidRPr="00C27843" w:rsidRDefault="00C27843" w:rsidP="00C27843">
      <w:pPr>
        <w:jc w:val="center"/>
        <w:rPr>
          <w:b/>
          <w:sz w:val="18"/>
        </w:rPr>
      </w:pPr>
    </w:p>
    <w:p w14:paraId="4EF017F6" w14:textId="77777777" w:rsidR="00C27843" w:rsidRPr="00C27843" w:rsidRDefault="00C27843" w:rsidP="00C27843">
      <w:pPr>
        <w:shd w:val="clear" w:color="auto" w:fill="FFFFFF"/>
        <w:spacing w:after="60" w:line="208" w:lineRule="atLeast"/>
        <w:jc w:val="both"/>
        <w:rPr>
          <w:color w:val="000000"/>
        </w:rPr>
      </w:pPr>
      <w:r w:rsidRPr="00C27843">
        <w:tab/>
      </w:r>
      <w:r w:rsidRPr="00C27843">
        <w:rPr>
          <w:lang w:val="nl-NL"/>
        </w:rPr>
        <w:t>Thực hiện Nghị định số 163/2016/NĐ-CP ngày 21</w:t>
      </w:r>
      <w:r w:rsidRPr="00C27843">
        <w:t>/</w:t>
      </w:r>
      <w:r w:rsidRPr="00C27843">
        <w:rPr>
          <w:lang w:val="nl-NL"/>
        </w:rPr>
        <w:t>12</w:t>
      </w:r>
      <w:r w:rsidRPr="00C27843">
        <w:t>/</w:t>
      </w:r>
      <w:r w:rsidRPr="00C27843">
        <w:rPr>
          <w:lang w:val="nl-NL"/>
        </w:rPr>
        <w:t>2016 của Chính phủ Quy định chi tiết và hướng dẫn thi hành một số điều của Luật Ngân sách nhà nước, Thông tư số 343/2016/NĐ-CP ngày 30</w:t>
      </w:r>
      <w:r w:rsidRPr="00C27843">
        <w:t>/</w:t>
      </w:r>
      <w:r w:rsidRPr="00C27843">
        <w:rPr>
          <w:lang w:val="nl-NL"/>
        </w:rPr>
        <w:t>12</w:t>
      </w:r>
      <w:r w:rsidRPr="00C27843">
        <w:t>/</w:t>
      </w:r>
      <w:r w:rsidRPr="00C27843">
        <w:rPr>
          <w:lang w:val="nl-NL"/>
        </w:rPr>
        <w:t>2016 của Bộ Tài chính hướng dẫn việc thực hiện công khai ngân sách nhà nước đối với các cấp ngân sách</w:t>
      </w:r>
      <w:r w:rsidRPr="00C27843">
        <w:t>, UBND tỉnh Quảng Ngãi báo cáo tình hình thực hiện công khai dự toán ngân sách nhà nước năm 2025 trên địa bàn tỉnh</w:t>
      </w:r>
      <w:r w:rsidRPr="00C27843">
        <w:rPr>
          <w:lang w:val="nl-NL"/>
        </w:rPr>
        <w:t xml:space="preserve"> như sau:</w:t>
      </w:r>
    </w:p>
    <w:p w14:paraId="6BD416B3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  <w:rPr>
          <w:color w:val="000000"/>
          <w:spacing w:val="-4"/>
        </w:rPr>
      </w:pPr>
      <w:r w:rsidRPr="00C27843">
        <w:rPr>
          <w:b/>
          <w:spacing w:val="-4"/>
          <w:lang w:val="nl-NL"/>
        </w:rPr>
        <w:t>I. Tình hình công khai ngân sách tại các xã, phường, thị trấn trong tỉnh:</w:t>
      </w:r>
    </w:p>
    <w:p w14:paraId="4277C52B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lang w:val="nl-NL"/>
        </w:rPr>
        <w:t xml:space="preserve">1. Số xã chưa công khai ngân sách: </w:t>
      </w:r>
      <w:r w:rsidRPr="00C27843">
        <w:t>K</w:t>
      </w:r>
      <w:r w:rsidRPr="00C27843">
        <w:rPr>
          <w:lang w:val="nl-NL"/>
        </w:rPr>
        <w:t>hông có.</w:t>
      </w:r>
    </w:p>
    <w:p w14:paraId="07D3CB15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lang w:val="nl-NL"/>
        </w:rPr>
        <w:t>2. Số xã đã thực hiện công khai ngân sách: 170 xã.</w:t>
      </w:r>
    </w:p>
    <w:p w14:paraId="63228A8A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lang w:val="nl-NL"/>
        </w:rPr>
        <w:t>Trong đó:</w:t>
      </w:r>
    </w:p>
    <w:p w14:paraId="3F29CCE4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lang w:val="nl-NL"/>
        </w:rPr>
        <w:t xml:space="preserve">- Đúng nội dung quy định: 170 xã, chưa đúng nội dung quy định: </w:t>
      </w:r>
      <w:r w:rsidRPr="00C27843">
        <w:t>K</w:t>
      </w:r>
      <w:r w:rsidRPr="00C27843">
        <w:rPr>
          <w:lang w:val="nl-NL"/>
        </w:rPr>
        <w:t>hông.</w:t>
      </w:r>
    </w:p>
    <w:p w14:paraId="41A60ADD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  <w:rPr>
          <w:spacing w:val="-2"/>
        </w:rPr>
      </w:pPr>
      <w:r w:rsidRPr="00C27843">
        <w:rPr>
          <w:spacing w:val="-2"/>
          <w:lang w:val="nl-NL"/>
        </w:rPr>
        <w:t xml:space="preserve">- Đúng hình thức quy định: 170 xã, chưa đúng hình thức quy định: </w:t>
      </w:r>
      <w:r w:rsidRPr="00C27843">
        <w:rPr>
          <w:spacing w:val="-2"/>
        </w:rPr>
        <w:t>K</w:t>
      </w:r>
      <w:r w:rsidRPr="00C27843">
        <w:rPr>
          <w:spacing w:val="-2"/>
          <w:lang w:val="nl-NL"/>
        </w:rPr>
        <w:t>hông.</w:t>
      </w:r>
    </w:p>
    <w:p w14:paraId="19FB976E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lang w:val="nl-NL"/>
        </w:rPr>
        <w:t xml:space="preserve">- Đúng thời gian quy định: 170 xã, chưa đúng thời gian quy định: </w:t>
      </w:r>
      <w:r w:rsidRPr="00C27843">
        <w:t>K</w:t>
      </w:r>
      <w:r w:rsidRPr="00C27843">
        <w:rPr>
          <w:lang w:val="nl-NL"/>
        </w:rPr>
        <w:t>hông.</w:t>
      </w:r>
    </w:p>
    <w:p w14:paraId="63ED13F3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b/>
          <w:lang w:val="nl-NL"/>
        </w:rPr>
        <w:t>II. Tình hình công khai ngân sách của các huyện, thị xã, thành phố thuộc tỉnh:</w:t>
      </w:r>
    </w:p>
    <w:p w14:paraId="19234BF0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lang w:val="nl-NL"/>
        </w:rPr>
        <w:t xml:space="preserve">1. Số huyện chưa thực hiện công khai ngân sách: </w:t>
      </w:r>
      <w:r w:rsidRPr="00C27843">
        <w:t>K</w:t>
      </w:r>
      <w:r w:rsidRPr="00C27843">
        <w:rPr>
          <w:lang w:val="nl-NL"/>
        </w:rPr>
        <w:t>hông có.</w:t>
      </w:r>
    </w:p>
    <w:p w14:paraId="7A24F6EC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lang w:val="nl-NL"/>
        </w:rPr>
        <w:t>2. Số huyện đã thực hiện công khai ngân sách: 13 huyện, thị xã, thành phố (chi tiết theo biểu sau)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33"/>
        <w:gridCol w:w="862"/>
        <w:gridCol w:w="900"/>
        <w:gridCol w:w="900"/>
        <w:gridCol w:w="900"/>
        <w:gridCol w:w="900"/>
        <w:gridCol w:w="900"/>
        <w:gridCol w:w="1118"/>
      </w:tblGrid>
      <w:tr w:rsidR="00C27843" w:rsidRPr="00C27843" w14:paraId="08F41BED" w14:textId="77777777" w:rsidTr="00861A56">
        <w:tc>
          <w:tcPr>
            <w:tcW w:w="567" w:type="dxa"/>
            <w:vMerge w:val="restart"/>
            <w:vAlign w:val="center"/>
          </w:tcPr>
          <w:p w14:paraId="7721B989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color w:val="000000"/>
                <w:szCs w:val="26"/>
              </w:rPr>
            </w:pPr>
            <w:r w:rsidRPr="00C27843">
              <w:rPr>
                <w:szCs w:val="26"/>
                <w:lang w:val="nl-NL"/>
              </w:rPr>
              <w:t>TT</w:t>
            </w:r>
          </w:p>
        </w:tc>
        <w:tc>
          <w:tcPr>
            <w:tcW w:w="2133" w:type="dxa"/>
            <w:vMerge w:val="restart"/>
            <w:vAlign w:val="center"/>
          </w:tcPr>
          <w:p w14:paraId="63D7BC12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color w:val="000000"/>
                <w:szCs w:val="26"/>
              </w:rPr>
            </w:pPr>
            <w:r w:rsidRPr="00C27843">
              <w:rPr>
                <w:szCs w:val="26"/>
                <w:lang w:val="nl-NL"/>
              </w:rPr>
              <w:t>Tên từng huyện</w:t>
            </w:r>
          </w:p>
        </w:tc>
        <w:tc>
          <w:tcPr>
            <w:tcW w:w="5362" w:type="dxa"/>
            <w:gridSpan w:val="6"/>
            <w:vAlign w:val="center"/>
          </w:tcPr>
          <w:p w14:paraId="6656EFC1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Huyện đã thực hiện công khai ngân sách</w:t>
            </w:r>
          </w:p>
        </w:tc>
        <w:tc>
          <w:tcPr>
            <w:tcW w:w="1118" w:type="dxa"/>
            <w:vMerge w:val="restart"/>
            <w:vAlign w:val="center"/>
          </w:tcPr>
          <w:p w14:paraId="3038AA90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Ghi chú</w:t>
            </w:r>
          </w:p>
        </w:tc>
      </w:tr>
      <w:tr w:rsidR="00C27843" w:rsidRPr="00C27843" w14:paraId="18CBC85F" w14:textId="77777777" w:rsidTr="00861A56">
        <w:tc>
          <w:tcPr>
            <w:tcW w:w="567" w:type="dxa"/>
            <w:vMerge/>
            <w:vAlign w:val="center"/>
          </w:tcPr>
          <w:p w14:paraId="17DFFCC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133" w:type="dxa"/>
            <w:vMerge/>
            <w:vAlign w:val="center"/>
          </w:tcPr>
          <w:p w14:paraId="06F07805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52390D9D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Nội dung</w:t>
            </w:r>
          </w:p>
        </w:tc>
        <w:tc>
          <w:tcPr>
            <w:tcW w:w="1800" w:type="dxa"/>
            <w:gridSpan w:val="2"/>
            <w:vAlign w:val="center"/>
          </w:tcPr>
          <w:p w14:paraId="71CC29E8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Hình thức</w:t>
            </w:r>
          </w:p>
        </w:tc>
        <w:tc>
          <w:tcPr>
            <w:tcW w:w="1800" w:type="dxa"/>
            <w:gridSpan w:val="2"/>
            <w:vAlign w:val="center"/>
          </w:tcPr>
          <w:p w14:paraId="40709C5F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Thời gian</w:t>
            </w:r>
          </w:p>
        </w:tc>
        <w:tc>
          <w:tcPr>
            <w:tcW w:w="1118" w:type="dxa"/>
            <w:vMerge/>
            <w:vAlign w:val="center"/>
          </w:tcPr>
          <w:p w14:paraId="3B2BC25A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</w:tr>
      <w:tr w:rsidR="00C27843" w:rsidRPr="00C27843" w14:paraId="1F757E2C" w14:textId="77777777" w:rsidTr="00861A56">
        <w:trPr>
          <w:trHeight w:val="1453"/>
        </w:trPr>
        <w:tc>
          <w:tcPr>
            <w:tcW w:w="567" w:type="dxa"/>
            <w:vMerge/>
            <w:vAlign w:val="center"/>
          </w:tcPr>
          <w:p w14:paraId="5CD29789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133" w:type="dxa"/>
            <w:vMerge/>
            <w:vAlign w:val="center"/>
          </w:tcPr>
          <w:p w14:paraId="160C575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862" w:type="dxa"/>
            <w:vAlign w:val="center"/>
          </w:tcPr>
          <w:p w14:paraId="7280302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color w:val="000000"/>
                <w:szCs w:val="26"/>
              </w:rPr>
            </w:pPr>
            <w:r w:rsidRPr="00C27843">
              <w:rPr>
                <w:szCs w:val="26"/>
                <w:lang w:val="nl-NL"/>
              </w:rPr>
              <w:t>Đúng nội dung</w:t>
            </w:r>
          </w:p>
        </w:tc>
        <w:tc>
          <w:tcPr>
            <w:tcW w:w="900" w:type="dxa"/>
            <w:vAlign w:val="center"/>
          </w:tcPr>
          <w:p w14:paraId="3AC4FA5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color w:val="000000"/>
                <w:szCs w:val="26"/>
              </w:rPr>
            </w:pPr>
            <w:r w:rsidRPr="00C27843">
              <w:rPr>
                <w:szCs w:val="26"/>
                <w:lang w:val="nl-NL"/>
              </w:rPr>
              <w:t>Chưa đúng nội dung</w:t>
            </w:r>
          </w:p>
        </w:tc>
        <w:tc>
          <w:tcPr>
            <w:tcW w:w="900" w:type="dxa"/>
            <w:vAlign w:val="center"/>
          </w:tcPr>
          <w:p w14:paraId="31C42330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color w:val="000000"/>
                <w:szCs w:val="26"/>
              </w:rPr>
            </w:pPr>
            <w:r w:rsidRPr="00C27843">
              <w:rPr>
                <w:szCs w:val="26"/>
                <w:lang w:val="nl-NL"/>
              </w:rPr>
              <w:t>Đúng hình thức</w:t>
            </w:r>
          </w:p>
        </w:tc>
        <w:tc>
          <w:tcPr>
            <w:tcW w:w="900" w:type="dxa"/>
            <w:vAlign w:val="center"/>
          </w:tcPr>
          <w:p w14:paraId="4C86A488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color w:val="000000"/>
                <w:szCs w:val="26"/>
              </w:rPr>
            </w:pPr>
            <w:r w:rsidRPr="00C27843">
              <w:rPr>
                <w:szCs w:val="26"/>
                <w:lang w:val="nl-NL"/>
              </w:rPr>
              <w:t>Chưa đúng hình thức</w:t>
            </w:r>
          </w:p>
        </w:tc>
        <w:tc>
          <w:tcPr>
            <w:tcW w:w="900" w:type="dxa"/>
            <w:vAlign w:val="center"/>
          </w:tcPr>
          <w:p w14:paraId="6462C2CE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color w:val="000000"/>
                <w:szCs w:val="26"/>
              </w:rPr>
            </w:pPr>
            <w:r w:rsidRPr="00C27843">
              <w:rPr>
                <w:szCs w:val="26"/>
                <w:lang w:val="nl-NL"/>
              </w:rPr>
              <w:t>Đúng thời gian quy định</w:t>
            </w:r>
          </w:p>
        </w:tc>
        <w:tc>
          <w:tcPr>
            <w:tcW w:w="900" w:type="dxa"/>
            <w:vAlign w:val="center"/>
          </w:tcPr>
          <w:p w14:paraId="3BD84B07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color w:val="000000"/>
                <w:szCs w:val="26"/>
              </w:rPr>
            </w:pPr>
            <w:r w:rsidRPr="00C27843">
              <w:rPr>
                <w:szCs w:val="26"/>
                <w:lang w:val="nl-NL"/>
              </w:rPr>
              <w:t>Chưa đúng thời gian quy định</w:t>
            </w:r>
          </w:p>
        </w:tc>
        <w:tc>
          <w:tcPr>
            <w:tcW w:w="1118" w:type="dxa"/>
            <w:vMerge/>
            <w:vAlign w:val="center"/>
          </w:tcPr>
          <w:p w14:paraId="73C31E7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</w:tr>
      <w:tr w:rsidR="00C27843" w:rsidRPr="00C27843" w14:paraId="0C7A3121" w14:textId="77777777" w:rsidTr="00861A56">
        <w:tc>
          <w:tcPr>
            <w:tcW w:w="567" w:type="dxa"/>
            <w:vAlign w:val="center"/>
          </w:tcPr>
          <w:p w14:paraId="7976330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1</w:t>
            </w:r>
          </w:p>
        </w:tc>
        <w:tc>
          <w:tcPr>
            <w:tcW w:w="2133" w:type="dxa"/>
            <w:vAlign w:val="center"/>
          </w:tcPr>
          <w:p w14:paraId="4690739A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Thị xã Đức Phổ</w:t>
            </w:r>
          </w:p>
        </w:tc>
        <w:tc>
          <w:tcPr>
            <w:tcW w:w="862" w:type="dxa"/>
            <w:vAlign w:val="center"/>
          </w:tcPr>
          <w:p w14:paraId="2EAFAFB1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24F3DD7D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3A84C320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123E7DBE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026A90B5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4D3E297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64C8F55F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</w:tr>
      <w:tr w:rsidR="00C27843" w:rsidRPr="00C27843" w14:paraId="3F50F25D" w14:textId="77777777" w:rsidTr="00861A56">
        <w:tc>
          <w:tcPr>
            <w:tcW w:w="567" w:type="dxa"/>
            <w:vAlign w:val="center"/>
          </w:tcPr>
          <w:p w14:paraId="46BB7CE1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2</w:t>
            </w:r>
          </w:p>
        </w:tc>
        <w:tc>
          <w:tcPr>
            <w:tcW w:w="2133" w:type="dxa"/>
            <w:vAlign w:val="center"/>
          </w:tcPr>
          <w:p w14:paraId="21B29EEE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Sơn Tịnh</w:t>
            </w:r>
          </w:p>
        </w:tc>
        <w:tc>
          <w:tcPr>
            <w:tcW w:w="862" w:type="dxa"/>
            <w:vAlign w:val="center"/>
          </w:tcPr>
          <w:p w14:paraId="5C87C61C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5FC7FC1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161F9325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545CA52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01393B57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0BA62E7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0151EF2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7C9235AC" w14:textId="77777777" w:rsidTr="00861A56">
        <w:tc>
          <w:tcPr>
            <w:tcW w:w="567" w:type="dxa"/>
            <w:vAlign w:val="center"/>
          </w:tcPr>
          <w:p w14:paraId="1F6EC2A7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3</w:t>
            </w:r>
          </w:p>
        </w:tc>
        <w:tc>
          <w:tcPr>
            <w:tcW w:w="2133" w:type="dxa"/>
            <w:vAlign w:val="center"/>
          </w:tcPr>
          <w:p w14:paraId="772E345E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Bình Sơn</w:t>
            </w:r>
          </w:p>
        </w:tc>
        <w:tc>
          <w:tcPr>
            <w:tcW w:w="862" w:type="dxa"/>
            <w:vAlign w:val="center"/>
          </w:tcPr>
          <w:p w14:paraId="429BE0BA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71090CA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0337F8CE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1550B3E8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5412802F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64CC5EB1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0F59A16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78F15615" w14:textId="77777777" w:rsidTr="00861A56">
        <w:tc>
          <w:tcPr>
            <w:tcW w:w="567" w:type="dxa"/>
            <w:vAlign w:val="center"/>
          </w:tcPr>
          <w:p w14:paraId="10220358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4</w:t>
            </w:r>
          </w:p>
        </w:tc>
        <w:tc>
          <w:tcPr>
            <w:tcW w:w="2133" w:type="dxa"/>
            <w:vAlign w:val="center"/>
          </w:tcPr>
          <w:p w14:paraId="03E70430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Nghĩa Hành</w:t>
            </w:r>
          </w:p>
        </w:tc>
        <w:tc>
          <w:tcPr>
            <w:tcW w:w="862" w:type="dxa"/>
            <w:vAlign w:val="center"/>
          </w:tcPr>
          <w:p w14:paraId="50986846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01E5202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4E0FEA30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539801BD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0987996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321429C2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4A92B332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13E7BB51" w14:textId="77777777" w:rsidTr="00861A56">
        <w:tc>
          <w:tcPr>
            <w:tcW w:w="567" w:type="dxa"/>
            <w:vAlign w:val="center"/>
          </w:tcPr>
          <w:p w14:paraId="5D806A6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lastRenderedPageBreak/>
              <w:t>5</w:t>
            </w:r>
          </w:p>
        </w:tc>
        <w:tc>
          <w:tcPr>
            <w:tcW w:w="2133" w:type="dxa"/>
            <w:vAlign w:val="center"/>
          </w:tcPr>
          <w:p w14:paraId="227FA8BF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Ba Tơ</w:t>
            </w:r>
          </w:p>
        </w:tc>
        <w:tc>
          <w:tcPr>
            <w:tcW w:w="862" w:type="dxa"/>
            <w:vAlign w:val="center"/>
          </w:tcPr>
          <w:p w14:paraId="1679765D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4CBE927E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4606DB44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1016A45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4FAB288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743F4A4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3B10F084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503A9A20" w14:textId="77777777" w:rsidTr="00861A56">
        <w:tc>
          <w:tcPr>
            <w:tcW w:w="567" w:type="dxa"/>
            <w:vAlign w:val="center"/>
          </w:tcPr>
          <w:p w14:paraId="3C09D137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6</w:t>
            </w:r>
          </w:p>
        </w:tc>
        <w:tc>
          <w:tcPr>
            <w:tcW w:w="2133" w:type="dxa"/>
            <w:vAlign w:val="center"/>
          </w:tcPr>
          <w:p w14:paraId="5FAC0D0F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Minh Long</w:t>
            </w:r>
          </w:p>
        </w:tc>
        <w:tc>
          <w:tcPr>
            <w:tcW w:w="862" w:type="dxa"/>
            <w:vAlign w:val="center"/>
          </w:tcPr>
          <w:p w14:paraId="667DEFBC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0862DFB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542DDA01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7E1146B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77D36320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038EB1BF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1445AE40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1A418236" w14:textId="77777777" w:rsidTr="00861A56">
        <w:tc>
          <w:tcPr>
            <w:tcW w:w="567" w:type="dxa"/>
            <w:vAlign w:val="center"/>
          </w:tcPr>
          <w:p w14:paraId="7337A56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7</w:t>
            </w:r>
          </w:p>
        </w:tc>
        <w:tc>
          <w:tcPr>
            <w:tcW w:w="2133" w:type="dxa"/>
            <w:vAlign w:val="center"/>
          </w:tcPr>
          <w:p w14:paraId="38D129D9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Sơn Hà</w:t>
            </w:r>
          </w:p>
        </w:tc>
        <w:tc>
          <w:tcPr>
            <w:tcW w:w="862" w:type="dxa"/>
            <w:vAlign w:val="center"/>
          </w:tcPr>
          <w:p w14:paraId="4B3F43F8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551F6EA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31E4527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1F3D2EC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09381F99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4920F6DD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10AB64AA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6FF3E72A" w14:textId="77777777" w:rsidTr="00861A56">
        <w:tc>
          <w:tcPr>
            <w:tcW w:w="567" w:type="dxa"/>
            <w:vAlign w:val="center"/>
          </w:tcPr>
          <w:p w14:paraId="5E2D0AC9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8</w:t>
            </w:r>
          </w:p>
        </w:tc>
        <w:tc>
          <w:tcPr>
            <w:tcW w:w="2133" w:type="dxa"/>
            <w:vAlign w:val="center"/>
          </w:tcPr>
          <w:p w14:paraId="0103B191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Sơn Tây</w:t>
            </w:r>
          </w:p>
        </w:tc>
        <w:tc>
          <w:tcPr>
            <w:tcW w:w="862" w:type="dxa"/>
            <w:vAlign w:val="center"/>
          </w:tcPr>
          <w:p w14:paraId="05BFB469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2678E47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06E21AD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2B2C3742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5A50A0F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623B74C9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1DFC37C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18CC8EDC" w14:textId="77777777" w:rsidTr="00861A56">
        <w:tc>
          <w:tcPr>
            <w:tcW w:w="567" w:type="dxa"/>
            <w:vAlign w:val="center"/>
          </w:tcPr>
          <w:p w14:paraId="7AF8205A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9</w:t>
            </w:r>
          </w:p>
        </w:tc>
        <w:tc>
          <w:tcPr>
            <w:tcW w:w="2133" w:type="dxa"/>
            <w:vAlign w:val="center"/>
          </w:tcPr>
          <w:p w14:paraId="1BFE24B1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Trà Bồng</w:t>
            </w:r>
          </w:p>
        </w:tc>
        <w:tc>
          <w:tcPr>
            <w:tcW w:w="862" w:type="dxa"/>
            <w:vAlign w:val="center"/>
          </w:tcPr>
          <w:p w14:paraId="7FD267D9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45E6EFF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47907B38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0CD3FEC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3BE2775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7A09AE14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6068352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2A0056C3" w14:textId="77777777" w:rsidTr="00861A56">
        <w:tc>
          <w:tcPr>
            <w:tcW w:w="567" w:type="dxa"/>
            <w:vAlign w:val="center"/>
          </w:tcPr>
          <w:p w14:paraId="7A91586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10</w:t>
            </w:r>
          </w:p>
        </w:tc>
        <w:tc>
          <w:tcPr>
            <w:tcW w:w="2133" w:type="dxa"/>
            <w:vAlign w:val="center"/>
          </w:tcPr>
          <w:p w14:paraId="34F93006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Lý Sơn</w:t>
            </w:r>
          </w:p>
        </w:tc>
        <w:tc>
          <w:tcPr>
            <w:tcW w:w="862" w:type="dxa"/>
            <w:vAlign w:val="center"/>
          </w:tcPr>
          <w:p w14:paraId="56B43078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59B440B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73236D24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311EF4EA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0BA6922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104166D1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1118" w:type="dxa"/>
            <w:vAlign w:val="center"/>
          </w:tcPr>
          <w:p w14:paraId="38121D71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73E9E6C0" w14:textId="77777777" w:rsidTr="00861A56">
        <w:tc>
          <w:tcPr>
            <w:tcW w:w="567" w:type="dxa"/>
            <w:vAlign w:val="center"/>
          </w:tcPr>
          <w:p w14:paraId="6A0D4117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11</w:t>
            </w:r>
          </w:p>
        </w:tc>
        <w:tc>
          <w:tcPr>
            <w:tcW w:w="2133" w:type="dxa"/>
            <w:vAlign w:val="center"/>
          </w:tcPr>
          <w:p w14:paraId="19870FC9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Mộ Đức</w:t>
            </w:r>
          </w:p>
        </w:tc>
        <w:tc>
          <w:tcPr>
            <w:tcW w:w="862" w:type="dxa"/>
            <w:vAlign w:val="center"/>
          </w:tcPr>
          <w:p w14:paraId="6D75523B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48E094D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6ABA3200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041D118E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6A37291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6130FDA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2F809BE8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41899EC7" w14:textId="77777777" w:rsidTr="00861A56">
        <w:tc>
          <w:tcPr>
            <w:tcW w:w="567" w:type="dxa"/>
            <w:vAlign w:val="center"/>
          </w:tcPr>
          <w:p w14:paraId="6F463AE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12</w:t>
            </w:r>
          </w:p>
        </w:tc>
        <w:tc>
          <w:tcPr>
            <w:tcW w:w="2133" w:type="dxa"/>
            <w:vAlign w:val="center"/>
          </w:tcPr>
          <w:p w14:paraId="744F7494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TP.Quảng Ngãi</w:t>
            </w:r>
          </w:p>
        </w:tc>
        <w:tc>
          <w:tcPr>
            <w:tcW w:w="862" w:type="dxa"/>
            <w:vAlign w:val="center"/>
          </w:tcPr>
          <w:p w14:paraId="273853EB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36F8257B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68C2A19E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0DBF249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78EC31F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18459A8A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41465076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27843" w:rsidRPr="00C27843" w14:paraId="13A4EA46" w14:textId="77777777" w:rsidTr="00861A56">
        <w:tc>
          <w:tcPr>
            <w:tcW w:w="567" w:type="dxa"/>
            <w:vAlign w:val="center"/>
          </w:tcPr>
          <w:p w14:paraId="579CFEF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13</w:t>
            </w:r>
          </w:p>
        </w:tc>
        <w:tc>
          <w:tcPr>
            <w:tcW w:w="2133" w:type="dxa"/>
            <w:vAlign w:val="center"/>
          </w:tcPr>
          <w:p w14:paraId="3CED9522" w14:textId="77777777" w:rsidR="00C27843" w:rsidRPr="00C27843" w:rsidRDefault="00C27843" w:rsidP="00861A56">
            <w:pPr>
              <w:spacing w:before="60" w:after="60"/>
              <w:rPr>
                <w:szCs w:val="26"/>
              </w:rPr>
            </w:pPr>
            <w:r w:rsidRPr="00C27843">
              <w:rPr>
                <w:szCs w:val="26"/>
              </w:rPr>
              <w:t>Tư Nghĩa</w:t>
            </w:r>
          </w:p>
        </w:tc>
        <w:tc>
          <w:tcPr>
            <w:tcW w:w="862" w:type="dxa"/>
            <w:vAlign w:val="center"/>
          </w:tcPr>
          <w:p w14:paraId="017EFF90" w14:textId="77777777" w:rsidR="00C27843" w:rsidRPr="00C27843" w:rsidRDefault="00C27843" w:rsidP="00861A56">
            <w:pPr>
              <w:spacing w:before="60" w:after="60"/>
              <w:jc w:val="center"/>
              <w:rPr>
                <w:szCs w:val="26"/>
              </w:rPr>
            </w:pPr>
            <w:r w:rsidRPr="00C27843">
              <w:rPr>
                <w:szCs w:val="26"/>
              </w:rPr>
              <w:t>x</w:t>
            </w:r>
          </w:p>
        </w:tc>
        <w:tc>
          <w:tcPr>
            <w:tcW w:w="900" w:type="dxa"/>
            <w:vAlign w:val="center"/>
          </w:tcPr>
          <w:p w14:paraId="001EF25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3E446BFF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61EFD9EE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49886E0E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  <w:r w:rsidRPr="00C27843">
              <w:rPr>
                <w:szCs w:val="26"/>
                <w:lang w:val="nl-NL"/>
              </w:rPr>
              <w:t>x</w:t>
            </w:r>
          </w:p>
        </w:tc>
        <w:tc>
          <w:tcPr>
            <w:tcW w:w="900" w:type="dxa"/>
            <w:vAlign w:val="center"/>
          </w:tcPr>
          <w:p w14:paraId="11F2ECD3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Cs w:val="26"/>
                <w:lang w:val="nl-NL"/>
              </w:rPr>
            </w:pPr>
          </w:p>
        </w:tc>
        <w:tc>
          <w:tcPr>
            <w:tcW w:w="1118" w:type="dxa"/>
            <w:vAlign w:val="center"/>
          </w:tcPr>
          <w:p w14:paraId="2F74170C" w14:textId="77777777" w:rsidR="00C27843" w:rsidRPr="00C27843" w:rsidRDefault="00C27843" w:rsidP="00861A56">
            <w:pPr>
              <w:spacing w:before="60" w:after="60" w:line="208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38BC3AC6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b/>
          <w:lang w:val="nl-NL"/>
        </w:rPr>
        <w:t>III. Tình hình thực hiện công khai ngân sách của các đơn vị dự toán ngân sách thuộc Uỷ ban nhân dân tỉnh:</w:t>
      </w:r>
    </w:p>
    <w:p w14:paraId="28279260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lang w:val="nl-NL"/>
        </w:rPr>
        <w:t xml:space="preserve">- Số đơn vị dự toán chưa thực hiện công khai: </w:t>
      </w:r>
      <w:r w:rsidRPr="00C27843">
        <w:t>0 đơn vị.</w:t>
      </w:r>
    </w:p>
    <w:p w14:paraId="11273B8E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  <w:rPr>
          <w:spacing w:val="-2"/>
          <w:lang w:val="nl-NL"/>
        </w:rPr>
      </w:pPr>
      <w:r w:rsidRPr="00C27843">
        <w:rPr>
          <w:spacing w:val="-2"/>
          <w:lang w:val="nl-NL"/>
        </w:rPr>
        <w:t xml:space="preserve">- Số đơn vị dự toán đã thực hiện công khai ngân sách: 47/47 đơn vị thực hiện công khai, trong đó đảm bảo đúng nội dung, hình thức theo quy định là 47/47 đơn vị, đúng thời gian quy định 34/47 đơn vị, chậm thời gian quy định là 13/47 đơn vị </w:t>
      </w:r>
      <w:r w:rsidRPr="00C27843">
        <w:rPr>
          <w:i/>
          <w:spacing w:val="-2"/>
          <w:lang w:val="nl-NL"/>
        </w:rPr>
        <w:t>(Chi tiết như Phụ lục kèm theo)</w:t>
      </w:r>
      <w:r w:rsidRPr="00C27843">
        <w:rPr>
          <w:spacing w:val="-2"/>
          <w:lang w:val="nl-NL"/>
        </w:rPr>
        <w:t xml:space="preserve">. </w:t>
      </w:r>
    </w:p>
    <w:p w14:paraId="29245F6C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b/>
          <w:lang w:val="nl-NL"/>
        </w:rPr>
        <w:t>IV. Tình hình thực hiện công khai tài chính của các đơn vị được ngân sách nhà nước hỗ trợ:</w:t>
      </w:r>
    </w:p>
    <w:p w14:paraId="736D8BD9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  <w:rPr>
          <w:lang w:val="nl-NL"/>
        </w:rPr>
      </w:pPr>
      <w:r w:rsidRPr="00C27843">
        <w:rPr>
          <w:lang w:val="nl-NL"/>
        </w:rPr>
        <w:t>- Số đơn vị được ngân sách nhà nước hỗ trợ chưa thực hiện công khai: 01 đơn vị (Kho bạc Nhà nước Quảng Ngãi).</w:t>
      </w:r>
    </w:p>
    <w:p w14:paraId="4C9AE6F6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  <w:rPr>
          <w:spacing w:val="-4"/>
        </w:rPr>
      </w:pPr>
      <w:r w:rsidRPr="00C27843">
        <w:rPr>
          <w:spacing w:val="-4"/>
          <w:lang w:val="nl-NL"/>
        </w:rPr>
        <w:t xml:space="preserve">- Số đơn vị được ngân sách nhà nước hỗ trợ đã thực hiện công khai: 05 đơn vị </w:t>
      </w:r>
      <w:r w:rsidRPr="00C27843">
        <w:rPr>
          <w:spacing w:val="-2"/>
          <w:lang w:val="nl-NL"/>
        </w:rPr>
        <w:t>công khai đúng nội dung và hình thức theo quy định</w:t>
      </w:r>
      <w:r w:rsidRPr="00C27843">
        <w:rPr>
          <w:spacing w:val="-4"/>
          <w:lang w:val="nl-NL"/>
        </w:rPr>
        <w:t>. Trong đó:</w:t>
      </w:r>
      <w:r w:rsidRPr="00C27843">
        <w:rPr>
          <w:spacing w:val="-2"/>
          <w:lang w:val="nl-NL"/>
        </w:rPr>
        <w:t xml:space="preserve"> </w:t>
      </w:r>
      <w:r w:rsidRPr="00C27843">
        <w:rPr>
          <w:spacing w:val="-4"/>
          <w:lang w:val="nl-NL"/>
        </w:rPr>
        <w:t xml:space="preserve">03 đơn vị </w:t>
      </w:r>
      <w:r w:rsidRPr="00C27843">
        <w:rPr>
          <w:spacing w:val="-2"/>
          <w:lang w:val="nl-NL"/>
        </w:rPr>
        <w:t>công khai chậm so với thời gian quy định</w:t>
      </w:r>
      <w:r w:rsidRPr="00C27843">
        <w:rPr>
          <w:spacing w:val="-2"/>
        </w:rPr>
        <w:t xml:space="preserve"> </w:t>
      </w:r>
      <w:r w:rsidRPr="00C27843">
        <w:rPr>
          <w:i/>
          <w:iCs/>
          <w:spacing w:val="-2"/>
        </w:rPr>
        <w:t>(Tòa án tỉnh, Viện Kiểm soát nhân dân tỉnh, Liên đoàn Lao động tỉnh)</w:t>
      </w:r>
      <w:r w:rsidRPr="00C27843">
        <w:rPr>
          <w:spacing w:val="-4"/>
          <w:lang w:val="nl-NL"/>
        </w:rPr>
        <w:t>.</w:t>
      </w:r>
    </w:p>
    <w:p w14:paraId="6D9B5131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b/>
          <w:lang w:val="nl-NL"/>
        </w:rPr>
        <w:t>V. Tình hình thực hiện công khai tài chính của các dự án đầu tư xây dựng cơ bản có sử dụng vốn ngân sách nhà nước:</w:t>
      </w:r>
    </w:p>
    <w:p w14:paraId="7A86BF3B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</w:pPr>
      <w:r w:rsidRPr="00C27843">
        <w:rPr>
          <w:lang w:val="nl-NL"/>
        </w:rPr>
        <w:t>- Số dự án đầu tư xây dựng cơ bản có sử dụng vốn ngân sách nhà nước chưa thực hiện công khai: không có.</w:t>
      </w:r>
    </w:p>
    <w:p w14:paraId="1E633325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  <w:rPr>
          <w:lang w:val="nl-NL"/>
        </w:rPr>
      </w:pPr>
      <w:r w:rsidRPr="00C27843">
        <w:rPr>
          <w:lang w:val="nl-NL"/>
        </w:rPr>
        <w:t xml:space="preserve">- Số dự án đầu tư xây dựng cơ bản có sử dụng vốn ngân sách nhà nước đã thực hiện công khai là 126 dự án </w:t>
      </w:r>
      <w:r w:rsidRPr="00C27843">
        <w:rPr>
          <w:i/>
          <w:lang w:val="nl-NL"/>
        </w:rPr>
        <w:t>(các dự án đều được công khai đúng nội dung, hình thức và thời gian quy định)</w:t>
      </w:r>
      <w:r w:rsidRPr="00C27843">
        <w:rPr>
          <w:lang w:val="nl-NL"/>
        </w:rPr>
        <w:t>.</w:t>
      </w:r>
    </w:p>
    <w:p w14:paraId="5EADDDE5" w14:textId="77777777" w:rsidR="00C27843" w:rsidRPr="00C27843" w:rsidRDefault="00C27843" w:rsidP="00C27843">
      <w:pPr>
        <w:shd w:val="clear" w:color="auto" w:fill="FFFFFF"/>
        <w:spacing w:before="60" w:after="60" w:line="208" w:lineRule="atLeast"/>
        <w:ind w:firstLine="720"/>
        <w:jc w:val="both"/>
        <w:rPr>
          <w:color w:val="000000"/>
        </w:rPr>
      </w:pPr>
      <w:r w:rsidRPr="00C27843">
        <w:t>K</w:t>
      </w:r>
      <w:r w:rsidRPr="00C27843">
        <w:rPr>
          <w:lang w:val="nl-NL"/>
        </w:rPr>
        <w:t>ính báo cáo</w:t>
      </w:r>
      <w:r w:rsidRPr="00C27843">
        <w:t xml:space="preserve"> Bộ Tài chính theo dõi, chỉ đạo</w:t>
      </w:r>
      <w:proofErr w:type="gramStart"/>
      <w:r w:rsidRPr="00C27843">
        <w:rPr>
          <w:lang w:val="nl-NL"/>
        </w:rPr>
        <w:t>./</w:t>
      </w:r>
      <w:proofErr w:type="gramEnd"/>
      <w:r w:rsidRPr="00C27843">
        <w:rPr>
          <w:lang w:val="nl-NL"/>
        </w:rPr>
        <w:t>.</w:t>
      </w:r>
    </w:p>
    <w:tbl>
      <w:tblPr>
        <w:tblW w:w="9217" w:type="dxa"/>
        <w:tblLayout w:type="fixed"/>
        <w:tblLook w:val="0000" w:firstRow="0" w:lastRow="0" w:firstColumn="0" w:lastColumn="0" w:noHBand="0" w:noVBand="0"/>
      </w:tblPr>
      <w:tblGrid>
        <w:gridCol w:w="3936"/>
        <w:gridCol w:w="5281"/>
      </w:tblGrid>
      <w:tr w:rsidR="00C27843" w:rsidRPr="00C27843" w14:paraId="3646F213" w14:textId="77777777" w:rsidTr="00861A56">
        <w:tc>
          <w:tcPr>
            <w:tcW w:w="3936" w:type="dxa"/>
          </w:tcPr>
          <w:p w14:paraId="4F2670A8" w14:textId="77777777" w:rsidR="00C27843" w:rsidRPr="00C27843" w:rsidRDefault="00C27843" w:rsidP="00861A56">
            <w:pPr>
              <w:spacing w:before="60"/>
              <w:rPr>
                <w:i/>
              </w:rPr>
            </w:pPr>
            <w:r w:rsidRPr="00C27843">
              <w:rPr>
                <w:b/>
                <w:i/>
              </w:rPr>
              <w:t>Nơi nhận</w:t>
            </w:r>
            <w:r w:rsidRPr="00C27843">
              <w:rPr>
                <w:i/>
              </w:rPr>
              <w:t xml:space="preserve">: </w:t>
            </w:r>
          </w:p>
        </w:tc>
        <w:tc>
          <w:tcPr>
            <w:tcW w:w="5281" w:type="dxa"/>
          </w:tcPr>
          <w:p w14:paraId="10BCCE67" w14:textId="77777777" w:rsidR="00C27843" w:rsidRPr="00C27843" w:rsidRDefault="00C27843" w:rsidP="00861A56">
            <w:pPr>
              <w:spacing w:before="60"/>
              <w:jc w:val="center"/>
              <w:rPr>
                <w:b/>
                <w:iCs/>
              </w:rPr>
            </w:pPr>
            <w:r w:rsidRPr="00C27843">
              <w:rPr>
                <w:b/>
              </w:rPr>
              <w:t>TM. ỦY BAN NHÂN DÂN</w:t>
            </w:r>
          </w:p>
        </w:tc>
      </w:tr>
      <w:tr w:rsidR="00C27843" w:rsidRPr="00C27843" w14:paraId="652004AD" w14:textId="77777777" w:rsidTr="00861A56">
        <w:tc>
          <w:tcPr>
            <w:tcW w:w="3936" w:type="dxa"/>
          </w:tcPr>
          <w:p w14:paraId="5AC1A6A1" w14:textId="77777777" w:rsidR="00C27843" w:rsidRPr="00C27843" w:rsidRDefault="00C27843" w:rsidP="00861A56">
            <w:pPr>
              <w:spacing w:line="208" w:lineRule="atLeast"/>
              <w:jc w:val="both"/>
              <w:rPr>
                <w:color w:val="000000"/>
                <w:lang w:val="nl-NL"/>
              </w:rPr>
            </w:pPr>
            <w:r w:rsidRPr="00C27843">
              <w:rPr>
                <w:color w:val="000000"/>
                <w:lang w:val="nl-NL"/>
              </w:rPr>
              <w:t xml:space="preserve">- Thường trực Tỉnh uỷ; </w:t>
            </w:r>
          </w:p>
          <w:p w14:paraId="522265A0" w14:textId="77777777" w:rsidR="00C27843" w:rsidRPr="00C27843" w:rsidRDefault="00C27843" w:rsidP="00861A56">
            <w:pPr>
              <w:spacing w:line="208" w:lineRule="atLeast"/>
              <w:jc w:val="both"/>
              <w:rPr>
                <w:color w:val="000000"/>
                <w:lang w:val="nl-NL"/>
              </w:rPr>
            </w:pPr>
            <w:r w:rsidRPr="00C27843">
              <w:rPr>
                <w:color w:val="000000"/>
                <w:lang w:val="nl-NL"/>
              </w:rPr>
              <w:t>- Thường trực HĐND tỉnh;</w:t>
            </w:r>
          </w:p>
          <w:p w14:paraId="0CA17DA0" w14:textId="77777777" w:rsidR="00C27843" w:rsidRPr="00C27843" w:rsidRDefault="00C27843" w:rsidP="00861A56">
            <w:pPr>
              <w:spacing w:line="208" w:lineRule="atLeast"/>
              <w:jc w:val="both"/>
              <w:rPr>
                <w:color w:val="000000"/>
                <w:lang w:val="nl-NL"/>
              </w:rPr>
            </w:pPr>
            <w:r w:rsidRPr="00C27843">
              <w:rPr>
                <w:color w:val="000000"/>
                <w:lang w:val="nl-NL"/>
              </w:rPr>
              <w:t>- CT, PCT UBND tỉnh;</w:t>
            </w:r>
          </w:p>
          <w:p w14:paraId="2A5D1614" w14:textId="77777777" w:rsidR="00C27843" w:rsidRPr="00C27843" w:rsidRDefault="00C27843" w:rsidP="00861A56">
            <w:pPr>
              <w:spacing w:line="208" w:lineRule="atLeast"/>
              <w:jc w:val="both"/>
              <w:rPr>
                <w:color w:val="000000"/>
                <w:lang w:val="nl-NL"/>
              </w:rPr>
            </w:pPr>
            <w:r w:rsidRPr="00C27843">
              <w:rPr>
                <w:color w:val="000000"/>
                <w:lang w:val="nl-NL"/>
              </w:rPr>
              <w:t>- Văn phòng: Tỉnh uỷ, HĐND tỉnh;</w:t>
            </w:r>
          </w:p>
          <w:p w14:paraId="5024C486" w14:textId="77777777" w:rsidR="00C27843" w:rsidRPr="00C27843" w:rsidRDefault="00C27843" w:rsidP="00861A56">
            <w:pPr>
              <w:spacing w:line="208" w:lineRule="atLeast"/>
              <w:jc w:val="both"/>
              <w:rPr>
                <w:color w:val="000000"/>
                <w:lang w:val="nl-NL"/>
              </w:rPr>
            </w:pPr>
            <w:r w:rsidRPr="00C27843">
              <w:rPr>
                <w:color w:val="000000"/>
                <w:lang w:val="nl-NL"/>
              </w:rPr>
              <w:t>- Các Sở, ban, ngành tỉnh;</w:t>
            </w:r>
          </w:p>
          <w:p w14:paraId="2D94188E" w14:textId="77777777" w:rsidR="00C27843" w:rsidRPr="00C27843" w:rsidRDefault="00C27843" w:rsidP="00861A56">
            <w:pPr>
              <w:spacing w:line="208" w:lineRule="atLeast"/>
              <w:jc w:val="both"/>
              <w:rPr>
                <w:color w:val="000000"/>
                <w:lang w:val="nl-NL"/>
              </w:rPr>
            </w:pPr>
            <w:r w:rsidRPr="00C27843">
              <w:rPr>
                <w:color w:val="000000"/>
                <w:lang w:val="nl-NL"/>
              </w:rPr>
              <w:t>- Các cơ quan Trung ương đóng trên địa bàn tỉnh;</w:t>
            </w:r>
          </w:p>
          <w:p w14:paraId="257ECB31" w14:textId="77777777" w:rsidR="00C27843" w:rsidRPr="00C27843" w:rsidRDefault="00C27843" w:rsidP="00861A56">
            <w:pPr>
              <w:spacing w:line="208" w:lineRule="atLeast"/>
              <w:jc w:val="both"/>
              <w:rPr>
                <w:color w:val="000000"/>
                <w:lang w:val="nl-NL"/>
              </w:rPr>
            </w:pPr>
            <w:r w:rsidRPr="00C27843">
              <w:rPr>
                <w:color w:val="000000"/>
                <w:lang w:val="nl-NL"/>
              </w:rPr>
              <w:t>- UBND các huyện, thị xã, thành phố;</w:t>
            </w:r>
          </w:p>
          <w:p w14:paraId="0C45D4D8" w14:textId="77777777" w:rsidR="00C27843" w:rsidRPr="00C27843" w:rsidRDefault="00C27843" w:rsidP="00861A56">
            <w:pPr>
              <w:spacing w:line="208" w:lineRule="atLeast"/>
              <w:jc w:val="both"/>
              <w:rPr>
                <w:color w:val="000000"/>
                <w:lang w:val="nl-NL"/>
              </w:rPr>
            </w:pPr>
            <w:r w:rsidRPr="00C27843">
              <w:rPr>
                <w:color w:val="000000"/>
                <w:lang w:val="nl-NL"/>
              </w:rPr>
              <w:lastRenderedPageBreak/>
              <w:t>- Các hội, đoàn thể tỉnh;</w:t>
            </w:r>
          </w:p>
          <w:p w14:paraId="6E03253A" w14:textId="77777777" w:rsidR="00C27843" w:rsidRPr="00C27843" w:rsidRDefault="00C27843" w:rsidP="00861A56">
            <w:pPr>
              <w:spacing w:line="208" w:lineRule="atLeast"/>
              <w:jc w:val="both"/>
              <w:rPr>
                <w:color w:val="000000"/>
                <w:lang w:val="nl-NL"/>
              </w:rPr>
            </w:pPr>
            <w:r w:rsidRPr="00C27843">
              <w:rPr>
                <w:color w:val="000000"/>
                <w:lang w:val="nl-NL"/>
              </w:rPr>
              <w:t>- VPUB: CVP, PCVP, CBTH;</w:t>
            </w:r>
          </w:p>
          <w:p w14:paraId="09B81C35" w14:textId="77777777" w:rsidR="00C27843" w:rsidRPr="00C27843" w:rsidRDefault="00C27843" w:rsidP="00861A56">
            <w:pPr>
              <w:jc w:val="both"/>
              <w:rPr>
                <w:b/>
                <w:i/>
              </w:rPr>
            </w:pPr>
            <w:r w:rsidRPr="00C27843">
              <w:rPr>
                <w:color w:val="000000"/>
                <w:lang w:val="nl-NL"/>
              </w:rPr>
              <w:t>- Lưu: VT, KTTH.</w:t>
            </w:r>
          </w:p>
        </w:tc>
        <w:tc>
          <w:tcPr>
            <w:tcW w:w="5281" w:type="dxa"/>
          </w:tcPr>
          <w:p w14:paraId="771ED3B9" w14:textId="77777777" w:rsidR="00C27843" w:rsidRPr="00C27843" w:rsidRDefault="00C27843" w:rsidP="00861A56">
            <w:pPr>
              <w:spacing w:before="60"/>
              <w:jc w:val="center"/>
              <w:rPr>
                <w:b/>
                <w:iCs/>
              </w:rPr>
            </w:pPr>
          </w:p>
          <w:p w14:paraId="74AD626E" w14:textId="77777777" w:rsidR="00C27843" w:rsidRPr="00C27843" w:rsidRDefault="00C27843" w:rsidP="00861A56">
            <w:pPr>
              <w:spacing w:before="60"/>
              <w:jc w:val="center"/>
              <w:rPr>
                <w:b/>
                <w:iCs/>
                <w:sz w:val="36"/>
              </w:rPr>
            </w:pPr>
          </w:p>
          <w:p w14:paraId="3AA60A7A" w14:textId="77777777" w:rsidR="00C27843" w:rsidRPr="00C27843" w:rsidRDefault="00C27843" w:rsidP="00861A56">
            <w:pPr>
              <w:spacing w:before="60"/>
              <w:jc w:val="center"/>
              <w:rPr>
                <w:b/>
                <w:iCs/>
                <w:sz w:val="36"/>
              </w:rPr>
            </w:pPr>
          </w:p>
          <w:p w14:paraId="0EECAF2F" w14:textId="77777777" w:rsidR="00C27843" w:rsidRPr="00C27843" w:rsidRDefault="00C27843" w:rsidP="00861A56">
            <w:pPr>
              <w:spacing w:before="60"/>
              <w:jc w:val="center"/>
              <w:rPr>
                <w:b/>
                <w:iCs/>
                <w:sz w:val="36"/>
              </w:rPr>
            </w:pPr>
          </w:p>
          <w:p w14:paraId="29094EC8" w14:textId="77777777" w:rsidR="00C27843" w:rsidRPr="00C27843" w:rsidRDefault="00C27843" w:rsidP="00861A56">
            <w:pPr>
              <w:spacing w:before="60"/>
              <w:jc w:val="center"/>
              <w:rPr>
                <w:b/>
                <w:iCs/>
              </w:rPr>
            </w:pPr>
          </w:p>
        </w:tc>
      </w:tr>
    </w:tbl>
    <w:p w14:paraId="03B1521F" w14:textId="77777777" w:rsidR="00AF4F7E" w:rsidRPr="00C27843" w:rsidRDefault="00AF4F7E"/>
    <w:p w14:paraId="1A79AC8D" w14:textId="77777777" w:rsidR="00E41D19" w:rsidRPr="00C27843" w:rsidRDefault="00E41D19" w:rsidP="00E41D19">
      <w:pPr>
        <w:spacing w:after="120"/>
      </w:pPr>
      <w:r w:rsidRPr="00C27843">
        <w:rPr>
          <w:color w:val="000000"/>
        </w:rPr>
        <w:t> </w:t>
      </w:r>
    </w:p>
    <w:sectPr w:rsidR="00E41D19" w:rsidRPr="00C27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C1"/>
    <w:rsid w:val="00016F5E"/>
    <w:rsid w:val="000276B6"/>
    <w:rsid w:val="008162C1"/>
    <w:rsid w:val="00A8651C"/>
    <w:rsid w:val="00AF4F7E"/>
    <w:rsid w:val="00C27843"/>
    <w:rsid w:val="00E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F4F7E"/>
    <w:pPr>
      <w:keepNext/>
      <w:tabs>
        <w:tab w:val="num" w:pos="864"/>
      </w:tabs>
      <w:suppressAutoHyphens/>
      <w:ind w:left="864" w:hanging="864"/>
      <w:jc w:val="both"/>
      <w:outlineLvl w:val="3"/>
    </w:pPr>
    <w:rPr>
      <w:rFonts w:ascii=".VnTime" w:hAnsi=".VnTime" w:cs=".VnTime"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2C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162C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AF4F7E"/>
    <w:rPr>
      <w:rFonts w:ascii=".VnTime" w:eastAsia="Times New Roman" w:hAnsi=".VnTime" w:cs=".VnTime"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AF4F7E"/>
    <w:pPr>
      <w:suppressAutoHyphens/>
      <w:spacing w:after="120"/>
    </w:pPr>
    <w:rPr>
      <w:rFonts w:ascii=".VnTime" w:hAnsi=".VnTime" w:cs=".VnTime"/>
      <w:sz w:val="27"/>
      <w:szCs w:val="27"/>
      <w:lang w:eastAsia="zh-CN"/>
    </w:rPr>
  </w:style>
  <w:style w:type="character" w:customStyle="1" w:styleId="BodyTextChar">
    <w:name w:val="Body Text Char"/>
    <w:basedOn w:val="DefaultParagraphFont"/>
    <w:link w:val="BodyText"/>
    <w:rsid w:val="00AF4F7E"/>
    <w:rPr>
      <w:rFonts w:ascii=".VnTime" w:eastAsia="Times New Roman" w:hAnsi=".VnTime" w:cs=".VnTime"/>
      <w:sz w:val="27"/>
      <w:szCs w:val="27"/>
      <w:lang w:eastAsia="zh-CN"/>
    </w:rPr>
  </w:style>
  <w:style w:type="paragraph" w:styleId="BodyText2">
    <w:name w:val="Body Text 2"/>
    <w:basedOn w:val="Normal"/>
    <w:link w:val="BodyText2Char"/>
    <w:rsid w:val="00AF4F7E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4F7E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AF4F7E"/>
    <w:pPr>
      <w:suppressAutoHyphens/>
      <w:spacing w:before="120" w:line="340" w:lineRule="exact"/>
      <w:ind w:firstLine="720"/>
      <w:jc w:val="both"/>
    </w:pPr>
    <w:rPr>
      <w:rFonts w:ascii=".VnTime" w:hAnsi=".VnTime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F4F7E"/>
    <w:rPr>
      <w:rFonts w:ascii=".VnTime" w:eastAsia="Times New Roman" w:hAnsi=".VnTime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F4F7E"/>
    <w:pPr>
      <w:keepNext/>
      <w:tabs>
        <w:tab w:val="num" w:pos="864"/>
      </w:tabs>
      <w:suppressAutoHyphens/>
      <w:ind w:left="864" w:hanging="864"/>
      <w:jc w:val="both"/>
      <w:outlineLvl w:val="3"/>
    </w:pPr>
    <w:rPr>
      <w:rFonts w:ascii=".VnTime" w:hAnsi=".VnTime" w:cs=".VnTime"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2C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162C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AF4F7E"/>
    <w:rPr>
      <w:rFonts w:ascii=".VnTime" w:eastAsia="Times New Roman" w:hAnsi=".VnTime" w:cs=".VnTime"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AF4F7E"/>
    <w:pPr>
      <w:suppressAutoHyphens/>
      <w:spacing w:after="120"/>
    </w:pPr>
    <w:rPr>
      <w:rFonts w:ascii=".VnTime" w:hAnsi=".VnTime" w:cs=".VnTime"/>
      <w:sz w:val="27"/>
      <w:szCs w:val="27"/>
      <w:lang w:eastAsia="zh-CN"/>
    </w:rPr>
  </w:style>
  <w:style w:type="character" w:customStyle="1" w:styleId="BodyTextChar">
    <w:name w:val="Body Text Char"/>
    <w:basedOn w:val="DefaultParagraphFont"/>
    <w:link w:val="BodyText"/>
    <w:rsid w:val="00AF4F7E"/>
    <w:rPr>
      <w:rFonts w:ascii=".VnTime" w:eastAsia="Times New Roman" w:hAnsi=".VnTime" w:cs=".VnTime"/>
      <w:sz w:val="27"/>
      <w:szCs w:val="27"/>
      <w:lang w:eastAsia="zh-CN"/>
    </w:rPr>
  </w:style>
  <w:style w:type="paragraph" w:styleId="BodyText2">
    <w:name w:val="Body Text 2"/>
    <w:basedOn w:val="Normal"/>
    <w:link w:val="BodyText2Char"/>
    <w:rsid w:val="00AF4F7E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4F7E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AF4F7E"/>
    <w:pPr>
      <w:suppressAutoHyphens/>
      <w:spacing w:before="120" w:line="340" w:lineRule="exact"/>
      <w:ind w:firstLine="720"/>
      <w:jc w:val="both"/>
    </w:pPr>
    <w:rPr>
      <w:rFonts w:ascii=".VnTime" w:hAnsi=".VnTime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F4F7E"/>
    <w:rPr>
      <w:rFonts w:ascii=".VnTime" w:eastAsia="Times New Roman" w:hAnsi=".VnTime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05289-1FE7-4F58-91B1-175AD9445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A60551-0D10-4610-87C1-9564B82C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AFE9-9905-4D31-8653-45C903DDD6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Duy, Phan Nguyen Anh</dc:creator>
  <cp:lastModifiedBy>ITC</cp:lastModifiedBy>
  <cp:revision>3</cp:revision>
  <dcterms:created xsi:type="dcterms:W3CDTF">2025-05-19T04:03:00Z</dcterms:created>
  <dcterms:modified xsi:type="dcterms:W3CDTF">2025-05-19T04:04:00Z</dcterms:modified>
</cp:coreProperties>
</file>